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BERENDT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1104 WEST BROAD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FALLS CHURCH</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Retension Pharmaceuticals, Inc.</w:t>
              </w:r>
            </w:hyperlink>
            <w:r>
              <w:rPr/>
              <w:t xml:space="preserve"> [ </w:t>
            </w:r>
            <w:r>
              <w:rPr>
                <w:rFonts w:ascii="Times;serif" w:hAnsi="Times;serif"/>
                <w:color w:val="0000FF"/>
                <w:sz w:val="24"/>
                <w:shd w:fill="FFFFFF" w:val="clear"/>
              </w:rPr>
              <w:t>RTSN</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88"/>
        <w:gridCol w:w="1222"/>
        <w:gridCol w:w="1125"/>
        <w:gridCol w:w="1308"/>
        <w:gridCol w:w="929"/>
        <w:gridCol w:w="1258"/>
        <w:gridCol w:w="1218"/>
        <w:gridCol w:w="1357"/>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09/22/2034</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40,258</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10/30/2035</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24,155</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Convertible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4,026</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Convertible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w:t>
            </w:r>
          </w:p>
        </w:tc>
        <w:tc>
          <w:tcPr>
            <w:tcW w:w="12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September 23, 2024. The stock options vest 1/36 monthly beginning December 21, 2023,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to the Reporting Person on October 31, 2025. The stock options vest 1/36 monthly beginning September 29,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Series A Convertible Preferred Stock (the "Series A Preferred Stock") is convertible into one share of Common Stock at any time at the option of the holder. The Series A Preferred Stock will automatically convert immediately prior to the closing of the Issuer's initial public offering into the number of shares shown in column 3 without payment of consideration. The Series A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Series B Convertible Preferred Stock (the "Series B Preferred Stock") is convertible into one share of Common Stock at any time at the option of the holder. The Series B Preferred Stock will automatically convert immediately prior to the closing of the Issuer's initial public offering into the number of shares shown in column 3 without payment of consideration. The Series B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Schwartz,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801201ex24.htm"/>
      <w:bookmarkStart w:id="3" w:name="ksea030801201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SECTION 16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Alex Schwartz, with full power of substitution,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and execute for and on behalf of the undersigned Forms 3, 4, and 5 in accordance with Section 16(a) of the Securities Exchange Act of 1934 and the rules thereunder, and any other forms or reports the undersigned may be required to file in connection with the undersigned's ownership, acquisition, or disposition of securities of Retension Pharmaceuticals,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October 6, 2026.</w:t>
      </w:r>
    </w:p>
    <w:p>
      <w:pPr>
        <w:pStyle w:val="TextBody"/>
        <w:bidi w:val="0"/>
        <w:spacing w:before="0" w:after="0"/>
        <w:ind w:left="0" w:right="0" w:hanging="0"/>
        <w:jc w:val="both"/>
        <w:rPr>
          <w:caps w:val="false"/>
          <w:smallCaps w:val="false"/>
        </w:rPr>
      </w:pPr>
      <w:r>
        <w:rPr>
          <w:caps w:val="false"/>
          <w:smallCaps w:val="false"/>
        </w:rPr>
        <w:t> </w:t>
      </w:r>
    </w:p>
    <w:tbl>
      <w:tblPr>
        <w:tblW w:w="1715" w:type="dxa"/>
        <w:jc w:val="left"/>
        <w:tblInd w:w="0" w:type="dxa"/>
        <w:tblLayout w:type="fixed"/>
        <w:tblCellMar>
          <w:top w:w="0" w:type="dxa"/>
          <w:left w:w="0" w:type="dxa"/>
          <w:bottom w:w="28" w:type="dxa"/>
          <w:right w:w="0" w:type="dxa"/>
        </w:tblCellMar>
      </w:tblPr>
      <w:tblGrid>
        <w:gridCol w:w="1640"/>
        <w:gridCol w:w="75"/>
      </w:tblGrid>
      <w:tr>
        <w:trPr/>
        <w:tc>
          <w:tcPr>
            <w:tcW w:w="1640" w:type="dxa"/>
            <w:tcBorders>
              <w:bottom w:val="single" w:sz="12" w:space="0" w:color="000000"/>
            </w:tcBorders>
            <w:vAlign w:val="center"/>
          </w:tcPr>
          <w:p>
            <w:pPr>
              <w:pStyle w:val="TableContents"/>
              <w:bidi w:val="0"/>
              <w:spacing w:before="0" w:after="283"/>
              <w:jc w:val="left"/>
              <w:rPr>
                <w:sz w:val="20"/>
              </w:rPr>
            </w:pPr>
            <w:r>
              <w:rPr>
                <w:sz w:val="20"/>
              </w:rPr>
              <w:t>/s/ Michael Berendt</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sz w:val="20"/>
              </w:rPr>
            </w:pPr>
            <w:r>
              <w:rPr>
                <w:sz w:val="20"/>
              </w:rPr>
              <w:t>Michael Berendt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86877" TargetMode="External"/><Relationship Id="rId3" Type="http://schemas.openxmlformats.org/officeDocument/2006/relationships/hyperlink" Target="http://www.sec.gov/cgi-bin/browse-edgar?action=getcompany&amp;CIK=00020029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1110</Words>
  <Characters>5875</Characters>
  <CharactersWithSpaces>6908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