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BERGER FRANKLIN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1104 WEST BROAD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FALLS CHURCH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Retension Pharmaceuticals, Inc.</w:t>
              </w:r>
            </w:hyperlink>
            <w:r>
              <w:rPr/>
              <w:t xml:space="preserve"> [ </w:t>
            </w:r>
            <w:r>
              <w:rPr>
                <w:rFonts w:ascii="Times;serif" w:hAnsi="Times;serif"/>
                <w:color w:val="0000FF"/>
                <w:sz w:val="24"/>
                <w:shd w:fill="FFFFFF" w:val="clear"/>
              </w:rPr>
              <w:t>RTSN</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88"/>
        <w:gridCol w:w="1222"/>
        <w:gridCol w:w="1125"/>
        <w:gridCol w:w="1308"/>
        <w:gridCol w:w="929"/>
        <w:gridCol w:w="1258"/>
        <w:gridCol w:w="1218"/>
        <w:gridCol w:w="135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04/30/2036</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9,662</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12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12,517</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to the Reporting Person on May 1, 2026. Twenty-five percent of the stock options will vest on the first anniversary of the date of grant, with the remaining stock options vesting in equal quarterly installments thereafter,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Series B Convertible Preferred Stock (the "Series B Preferred Stock") is convertible into one share of Common Stock at any time at the option of the holder. The Series B Preferred Stock will automatically convert immediately prior to the closing of the Issuer's initial public offering into the number of shares shown in column 3 without payment of consideration. The Series B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Schwartz,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01202ex24.htm"/>
      <w:bookmarkStart w:id="3" w:name="ksea030801202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SECTION 16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Alex Schwartz, with full power of substitution,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and execute for and on behalf of the undersigned Forms 3, 4, and 5 in accordance with Section 16(a) of the Securities Exchange Act of 1934 and the rules thereunder, and any other forms or reports the undersigned may be required to file in connection with the undersigned's ownership, acquisition, or disposition of securities of Retension Pharmaceuticals,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October 7, 2026.</w:t>
      </w:r>
    </w:p>
    <w:p>
      <w:pPr>
        <w:pStyle w:val="TextBody"/>
        <w:bidi w:val="0"/>
        <w:spacing w:before="0" w:after="0"/>
        <w:ind w:left="0" w:right="0" w:hanging="0"/>
        <w:jc w:val="both"/>
        <w:rPr>
          <w:caps w:val="false"/>
          <w:smallCaps w:val="false"/>
        </w:rPr>
      </w:pPr>
      <w:r>
        <w:rPr>
          <w:caps w:val="false"/>
          <w:smallCaps w:val="false"/>
        </w:rPr>
        <w:t> </w:t>
      </w:r>
    </w:p>
    <w:tbl>
      <w:tblPr>
        <w:tblW w:w="2210" w:type="dxa"/>
        <w:jc w:val="left"/>
        <w:tblInd w:w="0" w:type="dxa"/>
        <w:tblLayout w:type="fixed"/>
        <w:tblCellMar>
          <w:top w:w="0" w:type="dxa"/>
          <w:left w:w="0" w:type="dxa"/>
          <w:bottom w:w="28" w:type="dxa"/>
          <w:right w:w="0" w:type="dxa"/>
        </w:tblCellMar>
      </w:tblPr>
      <w:tblGrid>
        <w:gridCol w:w="2135"/>
        <w:gridCol w:w="75"/>
      </w:tblGrid>
      <w:tr>
        <w:trPr/>
        <w:tc>
          <w:tcPr>
            <w:tcW w:w="2135" w:type="dxa"/>
            <w:tcBorders>
              <w:bottom w:val="single" w:sz="12" w:space="0" w:color="000000"/>
            </w:tcBorders>
            <w:vAlign w:val="center"/>
          </w:tcPr>
          <w:p>
            <w:pPr>
              <w:pStyle w:val="TableContents"/>
              <w:bidi w:val="0"/>
              <w:spacing w:before="0" w:after="283"/>
              <w:jc w:val="left"/>
              <w:rPr/>
            </w:pPr>
            <w:r>
              <w:rPr/>
              <w:t>/s/ Franklin M. Berger</w:t>
            </w:r>
          </w:p>
        </w:tc>
        <w:tc>
          <w:tcPr>
            <w:tcW w:w="75" w:type="dxa"/>
            <w:tcBorders/>
            <w:tcMar>
              <w:bottom w:w="0" w:type="dxa"/>
            </w:tcMar>
            <w:vAlign w:val="center"/>
          </w:tcPr>
          <w:p>
            <w:pPr>
              <w:pStyle w:val="TableContents"/>
              <w:bidi w:val="0"/>
              <w:spacing w:before="0" w:after="283"/>
              <w:jc w:val="left"/>
              <w:rPr/>
            </w:pPr>
            <w:r>
              <w:rPr/>
              <w:t> </w:t>
            </w:r>
          </w:p>
        </w:tc>
      </w:tr>
      <w:tr>
        <w:trPr/>
        <w:tc>
          <w:tcPr>
            <w:tcW w:w="2135" w:type="dxa"/>
            <w:tcBorders/>
            <w:tcMar>
              <w:bottom w:w="0" w:type="dxa"/>
            </w:tcMar>
            <w:vAlign w:val="center"/>
          </w:tcPr>
          <w:p>
            <w:pPr>
              <w:pStyle w:val="TableContents"/>
              <w:bidi w:val="0"/>
              <w:spacing w:before="0" w:after="283"/>
              <w:jc w:val="left"/>
              <w:rPr/>
            </w:pPr>
            <w:r>
              <w:rPr/>
              <w:t>Franklin M. Berger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73885" TargetMode="External"/><Relationship Id="rId3" Type="http://schemas.openxmlformats.org/officeDocument/2006/relationships/hyperlink" Target="http://www.sec.gov/cgi-bin/browse-edgar?action=getcompany&amp;CIK=00020029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1002</Words>
  <Characters>5326</Characters>
  <CharactersWithSpaces>6267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