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Sweetnam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1104 WEST BROAD STREET</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1029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FALLS CHURCH</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Retension Pharmaceuticals, Inc.</w:t>
              </w:r>
            </w:hyperlink>
            <w:r>
              <w:rPr/>
              <w:t xml:space="preserve"> [ </w:t>
            </w:r>
            <w:r>
              <w:rPr>
                <w:rFonts w:ascii="Times;serif" w:hAnsi="Times;serif"/>
                <w:color w:val="0000FF"/>
                <w:sz w:val="24"/>
                <w:shd w:fill="FFFFFF" w:val="clear"/>
              </w:rPr>
              <w:t>RTSN</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402,577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68"/>
        <w:gridCol w:w="1222"/>
        <w:gridCol w:w="1124"/>
        <w:gridCol w:w="1298"/>
        <w:gridCol w:w="970"/>
        <w:gridCol w:w="1257"/>
        <w:gridCol w:w="1216"/>
        <w:gridCol w:w="1350"/>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09/22/2034</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80,516</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10/30/2035</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128,825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Convertible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4,026</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Convertible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2,640</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to the Reporting Person on September 23, 2024. The stock options vest in 1/36 monthly increments, with the first vesting date on December 21, 2023,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to the Reporting Person on October 31, 2025. The stock options vest in 1/36 monthly increments, with the first vesting date on September 29,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Series A Convertible Preferred Stock (the "Series A Preferred Stock") is convertible into one share of Common Stock at any time at the option of the holder. The Series A Preferred Stock will automatically convert immediately prior to the closing of the Issuer's initial public offering into the number of shares shown in column 3 without payment of consideration. The Series A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Series B Convertible Preferred Stock (the "Series B Preferred Stock") is convertible into one share of Common Stock at any time at the option of the holder. The Series B Preferred Stock will automatically convert immediately prior to the closing of the Issuer's initial public offering into the number of shares shown in column 3 without payment of consideration. The Series B Preferred Stock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Schwartz,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30801208ex24.htm"/>
      <w:bookmarkStart w:id="3" w:name="ksea030801208ex24"/>
      <w:bookmarkEnd w:id="2"/>
      <w:bookmarkEnd w:id="3"/>
      <w:r>
        <w:rPr>
          <w:b/>
        </w:rPr>
        <w:t>Exhibit 24</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SECTION 16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Alex Schwartz, with full power of substitution,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and execute for and on behalf of the undersigned Forms 3, 4, and 5 in accordance with Section 16(a) of the Securities Exchange Act of 1934 and the rules thereunder, and any other forms or reports the undersigned may be required to file in connection with the undersigned's ownership, acquisition, or disposition of securities of Retension Pharmaceuticals,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October 5, 2026.</w:t>
      </w:r>
    </w:p>
    <w:p>
      <w:pPr>
        <w:pStyle w:val="TextBody"/>
        <w:bidi w:val="0"/>
        <w:spacing w:before="0" w:after="0"/>
        <w:ind w:left="0" w:right="0" w:hanging="0"/>
        <w:jc w:val="both"/>
        <w:rPr>
          <w:caps w:val="false"/>
          <w:smallCaps w:val="false"/>
        </w:rPr>
      </w:pPr>
      <w:r>
        <w:rPr>
          <w:caps w:val="false"/>
          <w:smallCaps w:val="false"/>
        </w:rPr>
        <w:t> </w:t>
      </w:r>
    </w:p>
    <w:tbl>
      <w:tblPr>
        <w:tblW w:w="1850" w:type="dxa"/>
        <w:jc w:val="left"/>
        <w:tblInd w:w="0" w:type="dxa"/>
        <w:tblLayout w:type="fixed"/>
        <w:tblCellMar>
          <w:top w:w="0" w:type="dxa"/>
          <w:left w:w="0" w:type="dxa"/>
          <w:bottom w:w="28" w:type="dxa"/>
          <w:right w:w="0" w:type="dxa"/>
        </w:tblCellMar>
      </w:tblPr>
      <w:tblGrid>
        <w:gridCol w:w="1775"/>
        <w:gridCol w:w="75"/>
      </w:tblGrid>
      <w:tr>
        <w:trPr/>
        <w:tc>
          <w:tcPr>
            <w:tcW w:w="1775" w:type="dxa"/>
            <w:tcBorders>
              <w:bottom w:val="single" w:sz="12" w:space="0" w:color="000000"/>
            </w:tcBorders>
            <w:vAlign w:val="center"/>
          </w:tcPr>
          <w:p>
            <w:pPr>
              <w:pStyle w:val="TableContents"/>
              <w:bidi w:val="0"/>
              <w:spacing w:before="0" w:after="283"/>
              <w:jc w:val="left"/>
              <w:rPr/>
            </w:pPr>
            <w:r>
              <w:rPr/>
              <w:t>/s/ Paul Sweetnam</w:t>
            </w:r>
          </w:p>
        </w:tc>
        <w:tc>
          <w:tcPr>
            <w:tcW w:w="75" w:type="dxa"/>
            <w:tcBorders/>
            <w:tcMar>
              <w:bottom w:w="0" w:type="dxa"/>
            </w:tcMar>
            <w:vAlign w:val="center"/>
          </w:tcPr>
          <w:p>
            <w:pPr>
              <w:pStyle w:val="TableContents"/>
              <w:bidi w:val="0"/>
              <w:spacing w:before="0" w:after="283"/>
              <w:jc w:val="left"/>
              <w:rPr/>
            </w:pPr>
            <w:r>
              <w:rPr/>
              <w:t> </w:t>
            </w:r>
          </w:p>
        </w:tc>
      </w:tr>
      <w:tr>
        <w:trPr/>
        <w:tc>
          <w:tcPr>
            <w:tcW w:w="1775" w:type="dxa"/>
            <w:tcBorders/>
            <w:tcMar>
              <w:bottom w:w="0" w:type="dxa"/>
            </w:tcMar>
            <w:vAlign w:val="center"/>
          </w:tcPr>
          <w:p>
            <w:pPr>
              <w:pStyle w:val="TableContents"/>
              <w:bidi w:val="0"/>
              <w:spacing w:before="0" w:after="283"/>
              <w:jc w:val="left"/>
              <w:rPr/>
            </w:pPr>
            <w:r>
              <w:rPr/>
              <w:t>Paul Sweetnam</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6367" TargetMode="External"/><Relationship Id="rId3" Type="http://schemas.openxmlformats.org/officeDocument/2006/relationships/hyperlink" Target="http://www.sec.gov/cgi-bin/browse-edgar?action=getcompany&amp;CIK=00020029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1132</Words>
  <Characters>5976</Characters>
  <CharactersWithSpaces>7026</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