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2"/>
        <w:gridCol w:w="1530"/>
        <w:gridCol w:w="3062"/>
        <w:gridCol w:w="2551"/>
      </w:tblGrid>
      <w:tr>
        <w:trPr/>
        <w:tc>
          <w:tcPr>
            <w:tcW w:w="306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2"/>
            </w:tblGrid>
            <w:tr>
              <w:trPr/>
              <w:tc>
                <w:tcPr>
                  <w:tcW w:w="2942" w:type="dxa"/>
                  <w:tcBorders/>
                  <w:vAlign w:val="center"/>
                </w:tcPr>
                <w:p>
                  <w:pPr>
                    <w:pStyle w:val="TableContents"/>
                    <w:bidi w:val="0"/>
                    <w:spacing w:before="0" w:after="283"/>
                    <w:jc w:val="left"/>
                    <w:rPr/>
                  </w:pPr>
                  <w:hyperlink r:id="rId2">
                    <w:r>
                      <w:rPr>
                        <w:rStyle w:val="InternetLink"/>
                      </w:rPr>
                      <w:t>Bisson Sabine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1"/>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2"/>
            </w:tblGrid>
            <w:tr>
              <w:trPr/>
              <w:tc>
                <w:tcPr>
                  <w:tcW w:w="294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1104 WEST BROAD STREET</w:t>
                  </w:r>
                </w:p>
              </w:tc>
            </w:tr>
            <w:tr>
              <w:trPr/>
              <w:tc>
                <w:tcPr>
                  <w:tcW w:w="294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1029</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1"/>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FALLS CHURCH</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VA</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22046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1"/>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0"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10/08/2026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Retension Pharmaceuticals, Inc.</w:t>
              </w:r>
            </w:hyperlink>
            <w:r>
              <w:rPr/>
              <w:t xml:space="preserve"> [ </w:t>
            </w:r>
            <w:r>
              <w:rPr>
                <w:rFonts w:ascii="Times;serif" w:hAnsi="Times;serif"/>
                <w:color w:val="0000FF"/>
                <w:sz w:val="24"/>
                <w:shd w:fill="FFFFFF" w:val="clear"/>
              </w:rPr>
              <w:t>RTSN</w:t>
            </w:r>
            <w:r>
              <w:rPr/>
              <w:t xml:space="preserve"> ] </w:t>
              <w:br/>
            </w:r>
            <w:r>
              <w:rPr>
                <w:rFonts w:ascii="arial;helvetica;sans-serif" w:hAnsi="arial;helvetica;sans-serif"/>
                <w:sz w:val="20"/>
              </w:rPr>
              <w:t>Foreign Trading Symbol</w:t>
            </w:r>
          </w:p>
        </w:tc>
      </w:tr>
      <w:tr>
        <w:trPr/>
        <w:tc>
          <w:tcPr>
            <w:tcW w:w="306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2"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Operating Officer</w:t>
                  </w:r>
                </w:p>
              </w:tc>
            </w:tr>
          </w:tbl>
          <w:p>
            <w:pPr>
              <w:pStyle w:val="TableContents"/>
              <w:bidi w:val="0"/>
              <w:spacing w:before="0" w:after="283"/>
              <w:jc w:val="left"/>
              <w:rPr>
                <w:sz w:val="4"/>
                <w:szCs w:val="4"/>
              </w:rPr>
            </w:pPr>
            <w:r>
              <w:rPr>
                <w:sz w:val="4"/>
                <w:szCs w:val="4"/>
              </w:rPr>
            </w:r>
          </w:p>
        </w:tc>
        <w:tc>
          <w:tcPr>
            <w:tcW w:w="2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3"/>
              <w:gridCol w:w="2068"/>
            </w:tblGrid>
            <w:tr>
              <w:trPr/>
              <w:tc>
                <w:tcPr>
                  <w:tcW w:w="363"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3"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788"/>
        <w:gridCol w:w="1222"/>
        <w:gridCol w:w="1125"/>
        <w:gridCol w:w="1308"/>
        <w:gridCol w:w="929"/>
        <w:gridCol w:w="1258"/>
        <w:gridCol w:w="1218"/>
        <w:gridCol w:w="1357"/>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78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4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223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5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1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35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78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222"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25"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308"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29"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5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1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5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78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Stock Option (right to buy)</w:t>
            </w:r>
          </w:p>
        </w:tc>
        <w:tc>
          <w:tcPr>
            <w:tcW w:w="12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09/22/2034</w:t>
            </w:r>
          </w:p>
        </w:tc>
        <w:tc>
          <w:tcPr>
            <w:tcW w:w="13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24,155</w:t>
            </w:r>
          </w:p>
        </w:tc>
        <w:tc>
          <w:tcPr>
            <w:tcW w:w="125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1.43</w:t>
            </w:r>
          </w:p>
        </w:tc>
        <w:tc>
          <w:tcPr>
            <w:tcW w:w="12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5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78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Stock Option (right to buy)</w:t>
            </w:r>
          </w:p>
        </w:tc>
        <w:tc>
          <w:tcPr>
            <w:tcW w:w="12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11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10/30/2035</w:t>
            </w:r>
          </w:p>
        </w:tc>
        <w:tc>
          <w:tcPr>
            <w:tcW w:w="13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24,155</w:t>
            </w:r>
          </w:p>
        </w:tc>
        <w:tc>
          <w:tcPr>
            <w:tcW w:w="125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2.43</w:t>
            </w:r>
          </w:p>
        </w:tc>
        <w:tc>
          <w:tcPr>
            <w:tcW w:w="12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5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78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Series A Convertible Preferred Stock</w:t>
            </w:r>
          </w:p>
        </w:tc>
        <w:tc>
          <w:tcPr>
            <w:tcW w:w="12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11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13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1,611</w:t>
            </w:r>
          </w:p>
        </w:tc>
        <w:tc>
          <w:tcPr>
            <w:tcW w:w="125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12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5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78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Series B Convertible Preferred Stock</w:t>
            </w:r>
          </w:p>
        </w:tc>
        <w:tc>
          <w:tcPr>
            <w:tcW w:w="122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112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130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2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2,504</w:t>
            </w:r>
          </w:p>
        </w:tc>
        <w:tc>
          <w:tcPr>
            <w:tcW w:w="125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121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5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Granted to the Reporting Person on September 23, 2024. The stock options vest in 1/36 monthly increments, with the first vesting date on January 11, 2024, subject to the Reporting Person's continued service to the Issuer on each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Granted to the Reporting Person on October 31, 2025. The stock options vest in 1/36 monthly increments, with the first vesting date on September 29, 2025, subject to the Reporting Person's continued service to the Issuer on each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Series A Convertible Preferred Stock (the "Series A Preferred Stock") is convertible into one share of Common Stock at any time at the option of the holder. The Series A Preferred Stock will automatically convert immediately prior to the closing of the Issuer's initial public offering into the number of shares shown in column 3 without payment of consideration. The Series A Preferred Stock has no expiration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Series B Convertible Preferred Stock (the "Series B Preferred Stock") is convertible into one share of Common Stock at any time at the option of the holder. The Series B Preferred Stock will automatically convert immediately prior to the closing of the Issuer's initial public offering into the number of shares shown in column 3 without payment of consideration. The Series B Preferred Stock has no expiration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24 - Power of Attorney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Alex Schwartz,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right"/>
        <w:rPr>
          <w:b/>
        </w:rPr>
      </w:pPr>
      <w:bookmarkStart w:id="2" w:name="ea030801203ex24.htm"/>
      <w:bookmarkStart w:id="3" w:name="ksea030801203ex24"/>
      <w:bookmarkEnd w:id="2"/>
      <w:bookmarkEnd w:id="3"/>
      <w:r>
        <w:rPr>
          <w:b/>
        </w:rPr>
        <w:t>Exhibit 24</w:t>
      </w:r>
      <w:r>
        <w:br w:type="page"/>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OF ATTORNEY</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SECTION 16 REPORTING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Know all by these presents, that the undersigned hereby constitutes and appoints Alex Schwartz, with full power of substitution, as the undersigned's true and lawful attorney-in-fact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prepare and execute for and on behalf of the undersigned Forms 3, 4, and 5 in accordance with Section 16(a) of the Securities Exchange Act of 1934 and the rules thereunder, and any other forms or reports the undersigned may be required to file in connection with the undersigned's ownership, acquisition, or disposition of securities of Retension Pharmaceuticals, Inc.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do and perform any and all acts for and on behalf of the undersigned which may be necessary or desirable to complete and execute any such Form 3, 4, or 5, or other form or report, and timely file such form or report with the United States Securities and Exchange Commission and any stock exchange or similar authority;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attorney-in-fact, in serving in such capacity at the request of the undersigned, is not assuming, nor is the Company assuming, any of the undersigned's responsibilities to comply with Section 16 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has caused this Power of Attorney to be executed as of October 6, 2026.</w:t>
      </w:r>
    </w:p>
    <w:p>
      <w:pPr>
        <w:pStyle w:val="TextBody"/>
        <w:bidi w:val="0"/>
        <w:spacing w:before="0" w:after="0"/>
        <w:ind w:left="0" w:right="0" w:hanging="0"/>
        <w:jc w:val="both"/>
        <w:rPr>
          <w:caps w:val="false"/>
          <w:smallCaps w:val="false"/>
        </w:rPr>
      </w:pPr>
      <w:r>
        <w:rPr>
          <w:caps w:val="false"/>
          <w:smallCaps w:val="false"/>
        </w:rPr>
        <w:t> </w:t>
      </w:r>
    </w:p>
    <w:tbl>
      <w:tblPr>
        <w:tblW w:w="1505" w:type="dxa"/>
        <w:jc w:val="left"/>
        <w:tblInd w:w="0" w:type="dxa"/>
        <w:tblLayout w:type="fixed"/>
        <w:tblCellMar>
          <w:top w:w="0" w:type="dxa"/>
          <w:left w:w="0" w:type="dxa"/>
          <w:bottom w:w="28" w:type="dxa"/>
          <w:right w:w="0" w:type="dxa"/>
        </w:tblCellMar>
      </w:tblPr>
      <w:tblGrid>
        <w:gridCol w:w="1430"/>
        <w:gridCol w:w="75"/>
      </w:tblGrid>
      <w:tr>
        <w:trPr/>
        <w:tc>
          <w:tcPr>
            <w:tcW w:w="1430" w:type="dxa"/>
            <w:tcBorders>
              <w:bottom w:val="single" w:sz="12" w:space="0" w:color="000000"/>
            </w:tcBorders>
            <w:vAlign w:val="center"/>
          </w:tcPr>
          <w:p>
            <w:pPr>
              <w:pStyle w:val="TableContents"/>
              <w:bidi w:val="0"/>
              <w:spacing w:before="0" w:after="283"/>
              <w:jc w:val="left"/>
              <w:rPr>
                <w:sz w:val="20"/>
              </w:rPr>
            </w:pPr>
            <w:r>
              <w:rPr>
                <w:sz w:val="20"/>
              </w:rPr>
              <w:t>/s/ Sabine Bisson</w:t>
            </w:r>
          </w:p>
        </w:tc>
        <w:tc>
          <w:tcPr>
            <w:tcW w:w="75" w:type="dxa"/>
            <w:tcBorders/>
            <w:tcMar>
              <w:bottom w:w="0" w:type="dxa"/>
            </w:tcMar>
            <w:vAlign w:val="center"/>
          </w:tcPr>
          <w:p>
            <w:pPr>
              <w:pStyle w:val="TableContents"/>
              <w:bidi w:val="0"/>
              <w:spacing w:before="0" w:after="283"/>
              <w:jc w:val="left"/>
              <w:rPr/>
            </w:pPr>
            <w:r>
              <w:rPr/>
              <w:t> </w:t>
            </w:r>
          </w:p>
        </w:tc>
      </w:tr>
      <w:tr>
        <w:trPr/>
        <w:tc>
          <w:tcPr>
            <w:tcW w:w="1430" w:type="dxa"/>
            <w:tcBorders/>
            <w:tcMar>
              <w:bottom w:w="0" w:type="dxa"/>
            </w:tcMar>
            <w:vAlign w:val="center"/>
          </w:tcPr>
          <w:p>
            <w:pPr>
              <w:pStyle w:val="TableContents"/>
              <w:bidi w:val="0"/>
              <w:spacing w:before="0" w:after="283"/>
              <w:jc w:val="left"/>
              <w:rPr>
                <w:sz w:val="20"/>
              </w:rPr>
            </w:pPr>
            <w:r>
              <w:rPr>
                <w:sz w:val="20"/>
              </w:rPr>
              <w:t>Sabine Bisson</w:t>
            </w:r>
          </w:p>
        </w:tc>
        <w:tc>
          <w:tcPr>
            <w:tcW w:w="7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152874" TargetMode="External"/><Relationship Id="rId3" Type="http://schemas.openxmlformats.org/officeDocument/2006/relationships/hyperlink" Target="http://www.sec.gov/cgi-bin/browse-edgar?action=getcompany&amp;CIK=0002002988"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1126</Words>
  <Characters>5946</Characters>
  <CharactersWithSpaces>6994</CharactersWithSpaces>
  <Paragraphs>122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